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习近平新时代中国特色社会主义思想的世界观</w:t>
      </w:r>
    </w:p>
    <w:p>
      <w:pPr>
        <w:jc w:val="center"/>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和方法论专题摘编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560" w:firstLineChars="200"/>
        <w:jc w:val="both"/>
        <w:rPr>
          <w:rFonts w:ascii="微软雅黑" w:hAnsi="微软雅黑" w:eastAsia="微软雅黑" w:cs="微软雅黑"/>
          <w:i w:val="0"/>
          <w:caps w:val="0"/>
          <w:color w:val="555555"/>
          <w:spacing w:val="0"/>
          <w:sz w:val="28"/>
          <w:szCs w:val="28"/>
        </w:rPr>
      </w:pPr>
      <w:r>
        <w:rPr>
          <w:rFonts w:hint="eastAsia" w:ascii="微软雅黑" w:hAnsi="微软雅黑" w:eastAsia="微软雅黑" w:cs="微软雅黑"/>
          <w:i w:val="0"/>
          <w:caps w:val="0"/>
          <w:color w:val="555555"/>
          <w:spacing w:val="0"/>
          <w:sz w:val="28"/>
          <w:szCs w:val="28"/>
          <w:bdr w:val="none" w:color="auto" w:sz="0" w:space="0"/>
          <w:shd w:val="clear" w:fill="FFFFFF"/>
        </w:rPr>
        <w:t>《习近平新时代中国特色社会主义思想的世界观和方法论专题摘编》由中央党史和文献研究院、中央学习贯彻习近平新时代中国特色社会主义思想主题教育领导小组办公室联合编辑，是全党深入开展学习贯彻习近平新时代中国特色社会主义思想主题教育的学习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both"/>
        <w:rPr>
          <w:rFonts w:hint="eastAsia" w:ascii="微软雅黑" w:hAnsi="微软雅黑" w:eastAsia="微软雅黑" w:cs="微软雅黑"/>
          <w:i w:val="0"/>
          <w:caps w:val="0"/>
          <w:color w:val="555555"/>
          <w:spacing w:val="0"/>
          <w:sz w:val="28"/>
          <w:szCs w:val="28"/>
        </w:rPr>
      </w:pPr>
      <w:r>
        <w:rPr>
          <w:rFonts w:hint="eastAsia" w:ascii="微软雅黑" w:hAnsi="微软雅黑" w:eastAsia="微软雅黑" w:cs="微软雅黑"/>
          <w:i w:val="0"/>
          <w:caps w:val="0"/>
          <w:color w:val="555555"/>
          <w:spacing w:val="0"/>
          <w:sz w:val="28"/>
          <w:szCs w:val="28"/>
          <w:bdr w:val="none" w:color="auto" w:sz="0" w:space="0"/>
          <w:shd w:val="clear" w:fill="FFFFFF"/>
        </w:rPr>
        <w:t>　　</w:t>
      </w:r>
      <w:r>
        <w:rPr>
          <w:rFonts w:hint="eastAsia" w:ascii="微软雅黑" w:hAnsi="微软雅黑" w:eastAsia="微软雅黑" w:cs="微软雅黑"/>
          <w:b/>
          <w:i w:val="0"/>
          <w:caps w:val="0"/>
          <w:color w:val="555555"/>
          <w:spacing w:val="0"/>
          <w:sz w:val="28"/>
          <w:szCs w:val="28"/>
          <w:bdr w:val="none" w:color="auto" w:sz="0" w:space="0"/>
          <w:shd w:val="clear" w:fill="FFFFFF"/>
        </w:rPr>
        <w:t>内容：</w:t>
      </w:r>
      <w:r>
        <w:rPr>
          <w:rFonts w:hint="eastAsia" w:ascii="微软雅黑" w:hAnsi="微软雅黑" w:eastAsia="微软雅黑" w:cs="微软雅黑"/>
          <w:i w:val="0"/>
          <w:caps w:val="0"/>
          <w:color w:val="555555"/>
          <w:spacing w:val="0"/>
          <w:sz w:val="28"/>
          <w:szCs w:val="28"/>
          <w:bdr w:val="none" w:color="auto" w:sz="0" w:space="0"/>
          <w:shd w:val="clear" w:fill="FFFFFF"/>
        </w:rPr>
        <w:t>摘自习近平总书记2012年11月15日至2023年3月13日期间的报告、讲话、说明、演讲、贺信、回信等110多篇重要文献，分3个专题，共计242段论述。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540"/>
        <w:jc w:val="both"/>
        <w:rPr>
          <w:rFonts w:hint="eastAsia" w:ascii="微软雅黑" w:hAnsi="微软雅黑" w:eastAsia="微软雅黑" w:cs="微软雅黑"/>
          <w:i w:val="0"/>
          <w:caps w:val="0"/>
          <w:color w:val="555555"/>
          <w:spacing w:val="0"/>
          <w:sz w:val="28"/>
          <w:szCs w:val="28"/>
          <w:bdr w:val="none" w:color="auto" w:sz="0" w:space="0"/>
          <w:shd w:val="clear" w:fill="FFFFFF"/>
        </w:rPr>
      </w:pPr>
      <w:r>
        <w:rPr>
          <w:rFonts w:hint="eastAsia" w:ascii="微软雅黑" w:hAnsi="微软雅黑" w:eastAsia="微软雅黑" w:cs="微软雅黑"/>
          <w:b/>
          <w:i w:val="0"/>
          <w:caps w:val="0"/>
          <w:color w:val="555555"/>
          <w:spacing w:val="0"/>
          <w:sz w:val="28"/>
          <w:szCs w:val="28"/>
          <w:bdr w:val="none" w:color="auto" w:sz="0" w:space="0"/>
          <w:shd w:val="clear" w:fill="FFFFFF"/>
        </w:rPr>
        <w:t>学习要求：</w:t>
      </w:r>
      <w:r>
        <w:rPr>
          <w:rFonts w:hint="eastAsia" w:ascii="微软雅黑" w:hAnsi="微软雅黑" w:eastAsia="微软雅黑" w:cs="微软雅黑"/>
          <w:i w:val="0"/>
          <w:caps w:val="0"/>
          <w:color w:val="555555"/>
          <w:spacing w:val="0"/>
          <w:sz w:val="28"/>
          <w:szCs w:val="28"/>
          <w:bdr w:val="none" w:color="auto" w:sz="0" w:space="0"/>
          <w:shd w:val="clear" w:fill="FFFFFF"/>
          <w:lang w:val="en-US" w:eastAsia="zh-CN"/>
        </w:rPr>
        <w:t>全体</w:t>
      </w:r>
      <w:r>
        <w:rPr>
          <w:rFonts w:hint="eastAsia" w:ascii="微软雅黑" w:hAnsi="微软雅黑" w:eastAsia="微软雅黑" w:cs="微软雅黑"/>
          <w:i w:val="0"/>
          <w:caps w:val="0"/>
          <w:color w:val="555555"/>
          <w:spacing w:val="0"/>
          <w:sz w:val="28"/>
          <w:szCs w:val="28"/>
          <w:bdr w:val="none" w:color="auto" w:sz="0" w:space="0"/>
          <w:shd w:val="clear" w:fill="FFFFFF"/>
        </w:rPr>
        <w:t>党员、干部原原本本学，多思多想、学深悟透，深刻领悟“两个确立”的决定性意义，增强“四个意识”、坚定“四个自信”、做到“两个维护”，把习近平新时代中国特色社会主义思想转化为坚定理想、锤炼党性和指导实践、推动工作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540"/>
        <w:jc w:val="center"/>
        <w:rPr>
          <w:rFonts w:hint="default" w:ascii="Times New Roman" w:hAnsi="Times New Roman" w:eastAsia="方正仿宋简体" w:cs="Times New Roman"/>
          <w:color w:val="auto"/>
          <w:sz w:val="32"/>
          <w:szCs w:val="32"/>
          <w:lang w:val="en-US" w:eastAsia="zh-CN"/>
        </w:rPr>
      </w:pPr>
      <w:bookmarkStart w:id="0" w:name="_GoBack"/>
      <w:r>
        <w:drawing>
          <wp:inline distT="0" distB="0" distL="114300" distR="114300">
            <wp:extent cx="2215515" cy="2842260"/>
            <wp:effectExtent l="0" t="0" r="1333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15515" cy="284226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C05D5"/>
    <w:rsid w:val="363C05D5"/>
    <w:rsid w:val="6D4F485E"/>
    <w:rsid w:val="740519E9"/>
    <w:rsid w:val="7BD2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2023-05-24T02:28:00Z</dcterms:created>
  <dc:creator>身不由己1388111077</dc:creator>
  <cp:lastModifiedBy>身不由己1388111077</cp:lastModifiedBy>
  <dcterms:modified xsi:type="dcterms:W3CDTF">2023-05-24T02:32:54Z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